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before="0" w:lineRule="auto"/>
        <w:rPr>
          <w:rFonts w:ascii="Roboto" w:cs="Roboto" w:eastAsia="Roboto" w:hAnsi="Roboto"/>
          <w:sz w:val="46"/>
          <w:szCs w:val="46"/>
        </w:rPr>
      </w:pPr>
      <w:bookmarkStart w:colFirst="0" w:colLast="0" w:name="_mgnagzktgck2" w:id="0"/>
      <w:bookmarkEnd w:id="0"/>
      <w:r w:rsidDel="00000000" w:rsidR="00000000" w:rsidRPr="00000000">
        <w:rPr>
          <w:rFonts w:ascii="Roboto" w:cs="Roboto" w:eastAsia="Roboto" w:hAnsi="Roboto"/>
          <w:sz w:val="46"/>
          <w:szCs w:val="46"/>
          <w:rtl w:val="0"/>
        </w:rPr>
        <w:t xml:space="preserve">Whole Grains: Nutrition Facts Video 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https://youtu.be/OEk5LzAOuoA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OEk5LzAOuoA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